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72AF" w:rsidRPr="00111819" w:rsidRDefault="00D67148" w:rsidP="00111819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1181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111819">
        <w:rPr>
          <w:rFonts w:ascii="Times New Roman" w:hAnsi="Times New Roman" w:cs="Times New Roman"/>
          <w:b/>
          <w:bCs/>
          <w:snapToGrid w:val="0"/>
          <w:sz w:val="24"/>
          <w:szCs w:val="24"/>
        </w:rPr>
        <w:t>Z</w:t>
      </w:r>
      <w:r w:rsidR="00111819" w:rsidRPr="00111819">
        <w:rPr>
          <w:rFonts w:ascii="Times New Roman" w:hAnsi="Times New Roman" w:cs="Times New Roman"/>
          <w:b/>
          <w:sz w:val="24"/>
          <w:szCs w:val="24"/>
        </w:rPr>
        <w:t>agospodarowanie terenu przy ul. Orłowskiej w Szczecinie – etap I</w:t>
      </w:r>
      <w:r w:rsidRPr="0011181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A2A4A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20</cp:revision>
  <cp:lastPrinted>2018-07-18T10:05:00Z</cp:lastPrinted>
  <dcterms:created xsi:type="dcterms:W3CDTF">2015-04-30T13:42:00Z</dcterms:created>
  <dcterms:modified xsi:type="dcterms:W3CDTF">2018-07-18T10:05:00Z</dcterms:modified>
</cp:coreProperties>
</file>