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E72AF" w:rsidRDefault="00633A83" w:rsidP="007E72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72AF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E72AF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7E72AF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E72AF" w:rsidRDefault="00927AF8" w:rsidP="007E72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E72AF" w:rsidRDefault="00CE7316" w:rsidP="007E72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72AF" w:rsidRPr="007E72AF" w:rsidRDefault="007E72AF" w:rsidP="007E7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E7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E72AF">
        <w:rPr>
          <w:rFonts w:ascii="Times New Roman" w:hAnsi="Times New Roman" w:cs="Times New Roman"/>
          <w:b/>
          <w:sz w:val="24"/>
          <w:szCs w:val="24"/>
        </w:rPr>
        <w:t>Zagospodarowanie terenu przy ul. Bałtyckiej i ul. Wiślanej w Szczecinie – etap II</w:t>
      </w:r>
      <w:r w:rsidRPr="007E72A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07FE2" w:rsidRPr="007E72AF" w:rsidRDefault="00107FE2" w:rsidP="007E7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7E72AF" w:rsidRDefault="0022235B" w:rsidP="007E7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7E72AF" w:rsidRDefault="00633A83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E72AF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E72AF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E72A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7E72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12</cp:revision>
  <dcterms:created xsi:type="dcterms:W3CDTF">2015-04-30T13:42:00Z</dcterms:created>
  <dcterms:modified xsi:type="dcterms:W3CDTF">2017-02-04T22:17:00Z</dcterms:modified>
</cp:coreProperties>
</file>